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8208" w14:textId="5B5F5F6D" w:rsidR="00ED0D50" w:rsidRPr="00BB6554" w:rsidRDefault="00823A49">
      <w:pPr>
        <w:contextualSpacing/>
        <w:rPr>
          <w:rFonts w:ascii="Calibri" w:hAnsi="Calibri" w:cs="Calibri"/>
          <w:sz w:val="20"/>
          <w:szCs w:val="20"/>
        </w:rPr>
      </w:pPr>
      <w:r w:rsidRPr="00BB6554">
        <w:rPr>
          <w:rFonts w:ascii="Calibri" w:hAnsi="Calibri" w:cs="Calibri"/>
          <w:b/>
          <w:bCs/>
          <w:sz w:val="20"/>
          <w:szCs w:val="20"/>
        </w:rPr>
        <w:t>SUBJECT LINE</w:t>
      </w:r>
      <w:r w:rsidRPr="00BB6554">
        <w:rPr>
          <w:rFonts w:ascii="Calibri" w:hAnsi="Calibri" w:cs="Calibri"/>
          <w:sz w:val="20"/>
          <w:szCs w:val="20"/>
        </w:rPr>
        <w:t xml:space="preserve"> </w:t>
      </w:r>
      <w:r w:rsidR="00BB6554" w:rsidRPr="00BB6554">
        <w:rPr>
          <w:rFonts w:ascii="Calibri" w:hAnsi="Calibri" w:cs="Calibri"/>
          <w:sz w:val="20"/>
          <w:szCs w:val="20"/>
        </w:rPr>
        <w:t>Reminder: Your Age-Based Catch-Up Contributions May Be Roth-Only in 2026</w:t>
      </w:r>
    </w:p>
    <w:p w14:paraId="381D087B" w14:textId="27ABB3E5" w:rsidR="00823A49" w:rsidRPr="00BB6554" w:rsidRDefault="00823A49">
      <w:pPr>
        <w:contextualSpacing/>
        <w:rPr>
          <w:rFonts w:ascii="Calibri" w:hAnsi="Calibri" w:cs="Calibri"/>
          <w:sz w:val="20"/>
          <w:szCs w:val="20"/>
        </w:rPr>
      </w:pPr>
      <w:r w:rsidRPr="00BB6554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SUPER SUBJECT LINE: </w:t>
      </w:r>
      <w:r w:rsidR="00BB6554" w:rsidRPr="00BB6554">
        <w:rPr>
          <w:rFonts w:ascii="Calibri" w:hAnsi="Calibri" w:cs="Calibri"/>
          <w:sz w:val="20"/>
          <w:szCs w:val="20"/>
        </w:rPr>
        <w:t>Contact your benefits administrator to determine how this may affect you.</w:t>
      </w:r>
    </w:p>
    <w:p w14:paraId="614C9EC7" w14:textId="77777777" w:rsidR="00823A49" w:rsidRPr="00BB6554" w:rsidRDefault="00823A49">
      <w:pPr>
        <w:contextualSpacing/>
        <w:rPr>
          <w:rFonts w:ascii="Calibri" w:hAnsi="Calibri" w:cs="Calibri"/>
          <w:b/>
          <w:bCs/>
          <w:kern w:val="0"/>
          <w:sz w:val="20"/>
          <w:szCs w:val="20"/>
          <w:shd w:val="clear" w:color="auto" w:fill="FFFFFF"/>
          <w14:ligatures w14:val="none"/>
        </w:rPr>
      </w:pPr>
    </w:p>
    <w:p w14:paraId="5F3571AA" w14:textId="4AA2C42C" w:rsidR="00823A49" w:rsidRPr="00BB6554" w:rsidRDefault="00823A49">
      <w:pPr>
        <w:contextualSpacing/>
        <w:rPr>
          <w:rFonts w:ascii="Calibri" w:hAnsi="Calibri" w:cs="Calibri"/>
          <w:b/>
          <w:bCs/>
          <w:kern w:val="0"/>
          <w:sz w:val="20"/>
          <w:szCs w:val="20"/>
          <w:shd w:val="clear" w:color="auto" w:fill="FFFFFF"/>
          <w14:ligatures w14:val="none"/>
        </w:rPr>
      </w:pPr>
      <w:r w:rsidRPr="00BB6554">
        <w:rPr>
          <w:rFonts w:ascii="Calibri" w:hAnsi="Calibri" w:cs="Calibri"/>
          <w:b/>
          <w:bCs/>
          <w:kern w:val="0"/>
          <w:sz w:val="20"/>
          <w:szCs w:val="20"/>
          <w:shd w:val="clear" w:color="auto" w:fill="FFFFFF"/>
          <w14:ligatures w14:val="none"/>
        </w:rPr>
        <w:t>PLEASE DELETE TEXT ABOVE BEFORE DEPLOYING EMAIL. THANKS!</w:t>
      </w:r>
    </w:p>
    <w:p w14:paraId="6DF5DC36" w14:textId="77777777" w:rsidR="00823A49" w:rsidRPr="00BB6554" w:rsidRDefault="00823A49">
      <w:pPr>
        <w:contextualSpacing/>
        <w:rPr>
          <w:rFonts w:ascii="Calibri" w:hAnsi="Calibri" w:cs="Calibri"/>
          <w:b/>
          <w:bCs/>
          <w:kern w:val="0"/>
          <w:sz w:val="20"/>
          <w:szCs w:val="20"/>
          <w:shd w:val="clear" w:color="auto" w:fill="FFFFFF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B6554" w:rsidRPr="00BB6554" w14:paraId="18BBA282" w14:textId="77777777" w:rsidTr="00BB6554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B6554" w:rsidRPr="00BB6554" w14:paraId="04A5E1EA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5B750DD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Dear [Employee], </w:t>
                  </w:r>
                </w:p>
              </w:tc>
            </w:tr>
            <w:tr w:rsidR="00BB6554" w:rsidRPr="00BB6554" w14:paraId="0FC999C4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6AD88740" w14:textId="4DADB2AB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You are receiving this message because you are </w:t>
                  </w:r>
                  <w:proofErr w:type="gramStart"/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age</w:t>
                  </w:r>
                  <w:proofErr w:type="gramEnd"/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 50 or older and your earnings may vary from year to year. Under federal law, beginning January 1, 2026, if your prior-year Social Security FICA wages were greater than $1</w:t>
                  </w:r>
                  <w:r w:rsidR="008B4D27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50</w:t>
                  </w: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,000, your age-based catch-up contributions must be made on a designated Roth (after–tax) basis.  </w:t>
                  </w:r>
                </w:p>
              </w:tc>
            </w:tr>
          </w:tbl>
          <w:p w14:paraId="441C9CE4" w14:textId="77777777" w:rsidR="00BB6554" w:rsidRPr="00BB6554" w:rsidRDefault="00BB6554" w:rsidP="00BB6554">
            <w:pPr>
              <w:contextualSpacing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</w:tbl>
    <w:p w14:paraId="71561A3C" w14:textId="77777777" w:rsidR="00BB6554" w:rsidRPr="00BB6554" w:rsidRDefault="00BB6554" w:rsidP="00BB6554">
      <w:pPr>
        <w:contextualSpacing/>
        <w:rPr>
          <w:rFonts w:ascii="Arial" w:hAnsi="Arial" w:cs="Arial"/>
          <w:vanish/>
          <w:kern w:val="0"/>
          <w:sz w:val="20"/>
          <w:szCs w:val="20"/>
          <w:shd w:val="clear" w:color="auto" w:fill="FFFFFF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B6554" w:rsidRPr="00BB6554" w14:paraId="506D3953" w14:textId="77777777" w:rsidTr="00BB6554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1"/>
              <w:gridCol w:w="8959"/>
            </w:tblGrid>
            <w:tr w:rsidR="00BB6554" w:rsidRPr="00BB6554" w14:paraId="2577109E" w14:textId="77777777">
              <w:tc>
                <w:tcPr>
                  <w:tcW w:w="5000" w:type="pct"/>
                  <w:gridSpan w:val="2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0F3954CE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Why this matters for hourly employees: </w:t>
                  </w:r>
                </w:p>
              </w:tc>
            </w:tr>
            <w:tr w:rsidR="00BB6554" w:rsidRPr="00BB6554" w14:paraId="44375BC1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hideMark/>
                </w:tcPr>
                <w:p w14:paraId="63C55690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•</w:t>
                  </w:r>
                </w:p>
              </w:tc>
              <w:tc>
                <w:tcPr>
                  <w:tcW w:w="5000" w:type="pct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496B1FF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Your annual wages are based on hours worked and overtime.  </w:t>
                  </w:r>
                </w:p>
              </w:tc>
            </w:tr>
            <w:tr w:rsidR="00BB6554" w:rsidRPr="00BB6554" w14:paraId="63FC2A51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hideMark/>
                </w:tcPr>
                <w:p w14:paraId="1AC7C5F8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•</w:t>
                  </w:r>
                </w:p>
              </w:tc>
              <w:tc>
                <w:tcPr>
                  <w:tcW w:w="5000" w:type="pct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D02802D" w14:textId="52B4F873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If your prior-year Social Security FICA wages were greater than $1</w:t>
                  </w:r>
                  <w:r w:rsidR="008B4D27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50</w:t>
                  </w: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,000 in 2025, your age-based catch-up contributions in 2026 must be contributed as designated Roth. </w:t>
                  </w:r>
                </w:p>
              </w:tc>
            </w:tr>
            <w:tr w:rsidR="00BB6554" w:rsidRPr="00BB6554" w14:paraId="78F96F7F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hideMark/>
                </w:tcPr>
                <w:p w14:paraId="5BF05BE3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•</w:t>
                  </w:r>
                </w:p>
              </w:tc>
              <w:tc>
                <w:tcPr>
                  <w:tcW w:w="5000" w:type="pct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F01F3F9" w14:textId="5345F5FD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If your prior-year Social Security FICA wages remain at or below $1</w:t>
                  </w:r>
                  <w:r w:rsidR="008B4D27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50</w:t>
                  </w: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,000, you can continue to choose pre–tax or designated Roth (if available) for your age-based catch-up contributions. </w:t>
                  </w:r>
                </w:p>
              </w:tc>
            </w:tr>
            <w:tr w:rsidR="00BB6554" w:rsidRPr="00BB6554" w14:paraId="276DB052" w14:textId="77777777">
              <w:tc>
                <w:tcPr>
                  <w:tcW w:w="5000" w:type="pct"/>
                  <w:gridSpan w:val="2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4374563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What you should do now:  </w:t>
                  </w:r>
                </w:p>
              </w:tc>
            </w:tr>
            <w:tr w:rsidR="00BB6554" w:rsidRPr="00BB6554" w14:paraId="16280305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hideMark/>
                </w:tcPr>
                <w:p w14:paraId="36120CF6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•</w:t>
                  </w:r>
                </w:p>
              </w:tc>
              <w:tc>
                <w:tcPr>
                  <w:tcW w:w="5000" w:type="pct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6D8804AB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Monitor your year-to-date earnings (available on your pay </w:t>
                  </w:r>
                  <w:proofErr w:type="gramStart"/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stub</w:t>
                  </w:r>
                  <w:proofErr w:type="gramEnd"/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 or HR portal). </w:t>
                  </w:r>
                </w:p>
              </w:tc>
            </w:tr>
            <w:tr w:rsidR="00BB6554" w:rsidRPr="00BB6554" w14:paraId="3F631A62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hideMark/>
                </w:tcPr>
                <w:p w14:paraId="180883B4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•</w:t>
                  </w:r>
                </w:p>
              </w:tc>
              <w:tc>
                <w:tcPr>
                  <w:tcW w:w="5000" w:type="pct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9B13C4D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Consider how overtime or additional hours could affect your eligibility. </w:t>
                  </w:r>
                </w:p>
              </w:tc>
            </w:tr>
            <w:tr w:rsidR="00BB6554" w:rsidRPr="00BB6554" w14:paraId="09A610AD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hideMark/>
                </w:tcPr>
                <w:p w14:paraId="57F7F538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•</w:t>
                  </w:r>
                </w:p>
              </w:tc>
              <w:tc>
                <w:tcPr>
                  <w:tcW w:w="5000" w:type="pct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5E875A75" w14:textId="3E2C96C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proofErr w:type="gramStart"/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Plan ahead</w:t>
                  </w:r>
                  <w:proofErr w:type="gramEnd"/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 for 2026 contribution elections, especially if you anticipate crossing the $1</w:t>
                  </w:r>
                  <w:r w:rsidR="008B4D27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50</w:t>
                  </w: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,000 threshold. </w:t>
                  </w:r>
                </w:p>
              </w:tc>
            </w:tr>
          </w:tbl>
          <w:p w14:paraId="42DA6BFA" w14:textId="77777777" w:rsidR="00BB6554" w:rsidRPr="00BB6554" w:rsidRDefault="00BB6554" w:rsidP="00BB6554">
            <w:pPr>
              <w:contextualSpacing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</w:tbl>
    <w:p w14:paraId="093D0763" w14:textId="77777777" w:rsidR="00BB6554" w:rsidRPr="00BB6554" w:rsidRDefault="00BB6554" w:rsidP="00BB6554">
      <w:pPr>
        <w:contextualSpacing/>
        <w:rPr>
          <w:rFonts w:ascii="Arial" w:hAnsi="Arial" w:cs="Arial"/>
          <w:vanish/>
          <w:kern w:val="0"/>
          <w:sz w:val="20"/>
          <w:szCs w:val="20"/>
          <w:shd w:val="clear" w:color="auto" w:fill="FFFFFF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B6554" w:rsidRPr="00BB6554" w14:paraId="454B7324" w14:textId="77777777" w:rsidTr="00BB6554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B6554" w:rsidRPr="00BB6554" w14:paraId="134A9C10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05511977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Learn more about Designated Roth</w:t>
                  </w:r>
                </w:p>
              </w:tc>
            </w:tr>
            <w:tr w:rsidR="00BB6554" w:rsidRPr="00BB6554" w14:paraId="4AD6E764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3051BD46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Download this educational flyer, </w:t>
                  </w:r>
                  <w:hyperlink r:id="rId4" w:tooltip="Designated Roth 2026" w:history="1">
                    <w:r w:rsidRPr="00BB6554">
                      <w:rPr>
                        <w:rStyle w:val="Hyperlink"/>
                        <w:rFonts w:ascii="Arial" w:hAnsi="Arial" w:cs="Arial"/>
                        <w:i/>
                        <w:iCs/>
                        <w:kern w:val="0"/>
                        <w:sz w:val="20"/>
                        <w:szCs w:val="20"/>
                        <w:shd w:val="clear" w:color="auto" w:fill="FFFFFF"/>
                        <w14:ligatures w14:val="none"/>
                      </w:rPr>
                      <w:t>Designated Roth: What You Need to Know Before 2026</w:t>
                    </w:r>
                  </w:hyperlink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, to understand a designated Roth. </w:t>
                  </w:r>
                </w:p>
              </w:tc>
            </w:tr>
            <w:tr w:rsidR="00BB6554" w:rsidRPr="00BB6554" w14:paraId="5D006059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3177D3AD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We will notify you again during open enrollment if your status requires designated Roth catch-up contributions. Please reach out to [HR Contact/Benefits Team] with any questions.</w:t>
                  </w:r>
                </w:p>
              </w:tc>
            </w:tr>
            <w:tr w:rsidR="00BB6554" w:rsidRPr="00BB6554" w14:paraId="457FFB86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27D21A0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Sincerely,</w:t>
                  </w:r>
                </w:p>
              </w:tc>
            </w:tr>
            <w:tr w:rsidR="00BB6554" w:rsidRPr="00BB6554" w14:paraId="2BFCCB94" w14:textId="77777777">
              <w:tc>
                <w:tcPr>
                  <w:tcW w:w="0" w:type="auto"/>
                  <w:tcMar>
                    <w:top w:w="150" w:type="dxa"/>
                    <w:left w:w="18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59E11C05" w14:textId="77777777" w:rsidR="00BB6554" w:rsidRPr="00BB6554" w:rsidRDefault="00BB6554" w:rsidP="00BB6554">
                  <w:pPr>
                    <w:contextualSpacing/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</w:pPr>
                  <w:r w:rsidRPr="00BB6554">
                    <w:rPr>
                      <w:rFonts w:ascii="Arial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[HR/Benefits Team]</w:t>
                  </w:r>
                </w:p>
              </w:tc>
            </w:tr>
          </w:tbl>
          <w:p w14:paraId="1C1AA57D" w14:textId="77777777" w:rsidR="00BB6554" w:rsidRPr="00BB6554" w:rsidRDefault="00BB6554" w:rsidP="00BB6554">
            <w:pPr>
              <w:contextualSpacing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</w:tbl>
    <w:p w14:paraId="7E4B7C62" w14:textId="77777777" w:rsidR="00BB6554" w:rsidRPr="00BB6554" w:rsidRDefault="00BB6554">
      <w:pPr>
        <w:contextualSpacing/>
        <w:rPr>
          <w:rFonts w:ascii="Calibri" w:hAnsi="Calibri" w:cs="Calibri"/>
          <w:b/>
          <w:bCs/>
          <w:kern w:val="0"/>
          <w:sz w:val="20"/>
          <w:szCs w:val="20"/>
          <w:shd w:val="clear" w:color="auto" w:fill="FFFFFF"/>
          <w14:ligatures w14:val="none"/>
        </w:rPr>
      </w:pPr>
    </w:p>
    <w:sectPr w:rsidR="00BB6554" w:rsidRPr="00BB6554" w:rsidSect="00A34810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49"/>
    <w:rsid w:val="00000A93"/>
    <w:rsid w:val="00020379"/>
    <w:rsid w:val="00050395"/>
    <w:rsid w:val="000616CB"/>
    <w:rsid w:val="000D48E4"/>
    <w:rsid w:val="002206FF"/>
    <w:rsid w:val="00396A3F"/>
    <w:rsid w:val="004A2453"/>
    <w:rsid w:val="005326EE"/>
    <w:rsid w:val="005A5D1E"/>
    <w:rsid w:val="00617E63"/>
    <w:rsid w:val="00632547"/>
    <w:rsid w:val="00687E0D"/>
    <w:rsid w:val="00736F0E"/>
    <w:rsid w:val="00823A49"/>
    <w:rsid w:val="008B4D27"/>
    <w:rsid w:val="008B5C72"/>
    <w:rsid w:val="00A12E19"/>
    <w:rsid w:val="00A34810"/>
    <w:rsid w:val="00A677E5"/>
    <w:rsid w:val="00AB56E0"/>
    <w:rsid w:val="00BB6554"/>
    <w:rsid w:val="00CA0010"/>
    <w:rsid w:val="00ED0D50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6538"/>
  <w15:chartTrackingRefBased/>
  <w15:docId w15:val="{8F5D02E7-2C43-4109-8317-292530B1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A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65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rebridgefinancial.com/content/dam/marketing/corporate/documents/pdfs/roth-iras-what-you-need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AIG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Melancon, Felica</dc:creator>
  <cp:keywords/>
  <dc:description/>
  <cp:lastModifiedBy>King, Monneke</cp:lastModifiedBy>
  <cp:revision>4</cp:revision>
  <dcterms:created xsi:type="dcterms:W3CDTF">2025-11-12T22:19:00Z</dcterms:created>
  <dcterms:modified xsi:type="dcterms:W3CDTF">2025-11-13T17:30:00Z</dcterms:modified>
</cp:coreProperties>
</file>